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20D2415" w:rsidR="00A27829" w:rsidRPr="007026ED" w:rsidRDefault="00885678" w:rsidP="00A27829">
      <w:pPr>
        <w:pStyle w:val="Head"/>
      </w:pPr>
      <w:r w:rsidRPr="00ED47B0">
        <w:rPr>
          <w:lang w:val="es-ES"/>
        </w:rPr>
        <w:t>Wirtgen Group</w:t>
      </w:r>
      <w:r>
        <w:rPr>
          <w:lang w:val="es-ES"/>
        </w:rPr>
        <w:t xml:space="preserve"> </w:t>
      </w:r>
      <w:bookmarkStart w:id="0" w:name="_Hlk187684842"/>
      <w:r>
        <w:rPr>
          <w:lang w:val="es-ES"/>
        </w:rPr>
        <w:t xml:space="preserve">presenta </w:t>
      </w:r>
      <w:bookmarkEnd w:id="0"/>
      <w:r>
        <w:rPr>
          <w:lang w:val="es-ES"/>
        </w:rPr>
        <w:t xml:space="preserve">45 </w:t>
      </w:r>
      <w:bookmarkStart w:id="1" w:name="_Hlk187840767"/>
      <w:r>
        <w:rPr>
          <w:lang w:val="es-ES"/>
        </w:rPr>
        <w:t xml:space="preserve">estrenos mundiales </w:t>
      </w:r>
      <w:bookmarkEnd w:id="1"/>
      <w:r>
        <w:rPr>
          <w:lang w:val="es-ES"/>
        </w:rPr>
        <w:t xml:space="preserve">e innovaciones en Bauma 2025 </w:t>
      </w:r>
    </w:p>
    <w:p w14:paraId="26F0996C" w14:textId="52C198A9" w:rsidR="00A46F1E" w:rsidRPr="00ED47B0" w:rsidRDefault="00326238" w:rsidP="00881E44">
      <w:pPr>
        <w:pStyle w:val="Subhead"/>
        <w:rPr>
          <w:lang w:val="en-GB"/>
        </w:rPr>
      </w:pPr>
      <w:r>
        <w:rPr>
          <w:bCs/>
          <w:iCs w:val="0"/>
          <w:lang w:val="es-ES"/>
        </w:rPr>
        <w:t xml:space="preserve">El lema de la feria: «Smarter. Safer. More sustainable».  </w:t>
      </w:r>
    </w:p>
    <w:p w14:paraId="3ECC044D" w14:textId="2222FDF7" w:rsidR="00D24C0A" w:rsidRPr="00ED47B0" w:rsidRDefault="00626589" w:rsidP="001A0325">
      <w:pPr>
        <w:pStyle w:val="Standardabsatz"/>
        <w:rPr>
          <w:b/>
          <w:bCs/>
          <w:lang w:val="en-GB"/>
        </w:rPr>
      </w:pPr>
      <w:r>
        <w:rPr>
          <w:b/>
          <w:bCs/>
          <w:lang w:val="es-ES"/>
        </w:rPr>
        <w:t>El foco de la presencia conjunta de Wirtgen Group y John Deere en Bauma radica en ayudar a los clientes para que puedan trabajar de una forma más rentable y eficiente mediante máquinas de construcción más inteligentes y seguras, soluciones tecnológicas y procesos de aplicación innovadores. El protagonismo del estand de 13 000 m² es para ocho Production Systems destinados a diversas aplicaciones en la construcción de carreteras, el movimiento de tierra y el tratamiento de materiales. Los profesionales que visiten la feria podrán ver unas 100 máquinas en total y, por primera vez, también asistir a nueve exhibiciones en directo. Este año, Wirtgen Group está nominado por partida doble al premio a la innovación de Bauma.</w:t>
      </w:r>
    </w:p>
    <w:p w14:paraId="66E416FD" w14:textId="38003F9A" w:rsidR="00763898" w:rsidRPr="00ED47B0" w:rsidRDefault="00763898" w:rsidP="00E31C19">
      <w:pPr>
        <w:pStyle w:val="Standardabsatz"/>
        <w:spacing w:after="0"/>
        <w:rPr>
          <w:lang w:val="en-GB"/>
        </w:rPr>
      </w:pPr>
      <w:r>
        <w:rPr>
          <w:lang w:val="es-ES"/>
        </w:rPr>
        <w:t>El grupo empresarial cuenta con soluciones concretas que se han desarrollado para ayudar al sector a afrontar retos como la escasez de mano de obra cualificada, las máximas exigencias de calidad, la documentación de los proyectos y su eficiencia.</w:t>
      </w:r>
    </w:p>
    <w:p w14:paraId="172562B9" w14:textId="77777777" w:rsidR="00B33E71" w:rsidRPr="00ED47B0" w:rsidRDefault="00B33E71" w:rsidP="00E31C19">
      <w:pPr>
        <w:pStyle w:val="Standardabsatz"/>
        <w:spacing w:after="0"/>
        <w:rPr>
          <w:lang w:val="en-GB"/>
        </w:rPr>
      </w:pPr>
    </w:p>
    <w:p w14:paraId="10E52A0B" w14:textId="27B96FD7" w:rsidR="00BF2EE8" w:rsidRPr="00ED47B0" w:rsidRDefault="00E31C19" w:rsidP="00E31C19">
      <w:pPr>
        <w:pStyle w:val="Absatzberschrift"/>
        <w:rPr>
          <w:lang w:val="en-GB"/>
        </w:rPr>
      </w:pPr>
      <w:r>
        <w:rPr>
          <w:bCs/>
          <w:lang w:val="es-ES"/>
        </w:rPr>
        <w:t xml:space="preserve">Visión clara de la construcción de carreteras, el movimiento de tierra y el tratamiento de materiales del futuro </w:t>
      </w:r>
    </w:p>
    <w:p w14:paraId="54FFE463" w14:textId="27738C46" w:rsidR="00954BA8" w:rsidRPr="00ED47B0" w:rsidRDefault="00E31C19" w:rsidP="00555ACA">
      <w:pPr>
        <w:pStyle w:val="Standardabsatz"/>
        <w:rPr>
          <w:lang w:val="en-GB"/>
        </w:rPr>
      </w:pPr>
      <w:r>
        <w:rPr>
          <w:lang w:val="es-ES"/>
        </w:rPr>
        <w:t xml:space="preserve">Las soluciones inteligentes, seguras y sostenibles están más solicitadas que nunca. Así, la empresa presenta las últimas tecnologías de maquinaria y soluciones digitales para los Production Systems de sus clientes en los tres segmentos del sector. El foco radica en soluciones integrales para proyectos de construcción, desde la planificación hasta la documentación y el análisis. </w:t>
      </w:r>
    </w:p>
    <w:p w14:paraId="34F35CB3" w14:textId="247BB5C5" w:rsidR="00E31C19" w:rsidRPr="00ED47B0" w:rsidRDefault="00954BA8" w:rsidP="00954BA8">
      <w:pPr>
        <w:pStyle w:val="Standardabsatz"/>
        <w:spacing w:after="0"/>
        <w:rPr>
          <w:b/>
          <w:bCs/>
          <w:lang w:val="en-GB"/>
        </w:rPr>
      </w:pPr>
      <w:r>
        <w:rPr>
          <w:b/>
          <w:bCs/>
          <w:lang w:val="es-ES"/>
        </w:rPr>
        <w:t xml:space="preserve">Estreno mundial cuádruple en la Technology Zone </w:t>
      </w:r>
    </w:p>
    <w:p w14:paraId="3BD9FFD5" w14:textId="5AC3F92C" w:rsidR="00C05823" w:rsidRPr="00ED47B0" w:rsidRDefault="004C6405" w:rsidP="00843B87">
      <w:pPr>
        <w:pStyle w:val="Standardabsatz"/>
        <w:spacing w:after="0"/>
        <w:rPr>
          <w:lang w:val="en-GB"/>
        </w:rPr>
      </w:pPr>
      <w:r>
        <w:rPr>
          <w:lang w:val="es-ES"/>
        </w:rPr>
        <w:t xml:space="preserve">En la </w:t>
      </w:r>
      <w:proofErr w:type="spellStart"/>
      <w:r>
        <w:rPr>
          <w:lang w:val="es-ES"/>
        </w:rPr>
        <w:t>Technology</w:t>
      </w:r>
      <w:proofErr w:type="spellEnd"/>
      <w:r>
        <w:rPr>
          <w:lang w:val="es-ES"/>
        </w:rPr>
        <w:t xml:space="preserve"> </w:t>
      </w:r>
      <w:proofErr w:type="spellStart"/>
      <w:r>
        <w:rPr>
          <w:lang w:val="es-ES"/>
        </w:rPr>
        <w:t>Zone</w:t>
      </w:r>
      <w:proofErr w:type="spellEnd"/>
      <w:r>
        <w:rPr>
          <w:lang w:val="es-ES"/>
        </w:rPr>
        <w:t xml:space="preserve"> se presenta el John Deere Operations Center™ para maquinaria de construcción, es decir, la plataforma central de soluciones digitales para la gestión de obras. Por otra parte, los visitantes tienen la oportunidad de descubrir por primera vez las siguientes novedades: Wirtgen Group Performance Tracker (WPT) Paving, WPT Compacting, WPT Recycling y WPT Crushing. Gracias a datos de rendimiento relevantes, las nuevas soluciones —y el ya conocido WPT Milling— ofrecen una sinopsis continua de todo el avance del proceso y documentan también todos los trabajos realizados por una máquina, por ejemplo una superficie fresada, asfaltada y compactada o un material tratado. Los datos de rendimiento ayudan a los clientes a tomar decisiones basadas en información objetiva para optimizar así el grado de utilización de las máquinas y la productividad y utilizar valores de referencia en la planificación de proyectos futuros.</w:t>
      </w:r>
    </w:p>
    <w:p w14:paraId="0F3EA0E8" w14:textId="77777777" w:rsidR="00843B87" w:rsidRPr="00ED47B0" w:rsidRDefault="00843B87" w:rsidP="00843B87">
      <w:pPr>
        <w:pStyle w:val="Standardabsatz"/>
        <w:spacing w:after="0"/>
        <w:rPr>
          <w:b/>
          <w:bCs/>
          <w:lang w:val="en-GB"/>
        </w:rPr>
      </w:pPr>
    </w:p>
    <w:p w14:paraId="2DF6FCD6" w14:textId="47189479" w:rsidR="008E04C9" w:rsidRPr="00ED47B0" w:rsidRDefault="008E04C9" w:rsidP="008E04C9">
      <w:pPr>
        <w:pStyle w:val="Standardabsatz"/>
        <w:spacing w:after="0"/>
        <w:rPr>
          <w:b/>
          <w:bCs/>
          <w:lang w:val="en-GB"/>
        </w:rPr>
      </w:pPr>
      <w:bookmarkStart w:id="2" w:name="_Hlk189481447"/>
      <w:r>
        <w:rPr>
          <w:b/>
          <w:bCs/>
          <w:lang w:val="es-ES"/>
        </w:rPr>
        <w:t xml:space="preserve">Los </w:t>
      </w:r>
      <w:proofErr w:type="spellStart"/>
      <w:r>
        <w:rPr>
          <w:b/>
          <w:bCs/>
          <w:lang w:val="es-ES"/>
        </w:rPr>
        <w:t>Production</w:t>
      </w:r>
      <w:proofErr w:type="spellEnd"/>
      <w:r>
        <w:rPr>
          <w:b/>
          <w:bCs/>
          <w:lang w:val="es-ES"/>
        </w:rPr>
        <w:t xml:space="preserve"> </w:t>
      </w:r>
      <w:proofErr w:type="spellStart"/>
      <w:r>
        <w:rPr>
          <w:b/>
          <w:bCs/>
          <w:lang w:val="es-ES"/>
        </w:rPr>
        <w:t>Systems</w:t>
      </w:r>
      <w:proofErr w:type="spellEnd"/>
      <w:r>
        <w:rPr>
          <w:b/>
          <w:bCs/>
          <w:lang w:val="es-ES"/>
        </w:rPr>
        <w:t xml:space="preserve"> inteligentes protagonizan el estand</w:t>
      </w:r>
      <w:bookmarkEnd w:id="2"/>
      <w:r>
        <w:rPr>
          <w:b/>
          <w:bCs/>
          <w:lang w:val="es-ES"/>
        </w:rPr>
        <w:t xml:space="preserve"> y escenifican una nominación al premio a la innovación de Bauma </w:t>
      </w:r>
    </w:p>
    <w:p w14:paraId="73AB2CBC" w14:textId="1DD64998" w:rsidR="00013C35" w:rsidRPr="00ED47B0" w:rsidRDefault="007511BF" w:rsidP="008E04C9">
      <w:pPr>
        <w:pStyle w:val="Standardabsatz"/>
        <w:spacing w:after="0"/>
        <w:rPr>
          <w:lang w:val="en-GB"/>
        </w:rPr>
      </w:pPr>
      <w:r>
        <w:rPr>
          <w:lang w:val="es-ES"/>
        </w:rPr>
        <w:t xml:space="preserve">Los </w:t>
      </w:r>
      <w:proofErr w:type="spellStart"/>
      <w:r>
        <w:rPr>
          <w:lang w:val="es-ES"/>
        </w:rPr>
        <w:t>Production</w:t>
      </w:r>
      <w:proofErr w:type="spellEnd"/>
      <w:r>
        <w:rPr>
          <w:lang w:val="es-ES"/>
        </w:rPr>
        <w:t xml:space="preserve"> </w:t>
      </w:r>
      <w:proofErr w:type="spellStart"/>
      <w:r>
        <w:rPr>
          <w:lang w:val="es-ES"/>
        </w:rPr>
        <w:t>Systems</w:t>
      </w:r>
      <w:proofErr w:type="spellEnd"/>
      <w:r>
        <w:rPr>
          <w:lang w:val="es-ES"/>
        </w:rPr>
        <w:t xml:space="preserve"> abarcan, además de los métodos de aplicación correctos y sistemas digitales, también la combinación óptima entre las distintas máquinas. Así, a lo largo de la Technology Zone se presentan, entre otros productos, trenes de máquinas para el extendido de asfalto con temperatura reducida, la estabilización y el tratamiento de materiales. </w:t>
      </w:r>
    </w:p>
    <w:p w14:paraId="74BA5000" w14:textId="71C8A5DA" w:rsidR="000D34D7" w:rsidRPr="00ED47B0" w:rsidRDefault="000D34D7">
      <w:pPr>
        <w:rPr>
          <w:rFonts w:eastAsiaTheme="minorHAnsi" w:cstheme="minorBidi"/>
          <w:sz w:val="22"/>
          <w:szCs w:val="24"/>
          <w:lang w:val="en-GB"/>
        </w:rPr>
      </w:pPr>
    </w:p>
    <w:p w14:paraId="2540DE25" w14:textId="733FE17C" w:rsidR="00CB24EA" w:rsidRPr="00ED47B0" w:rsidRDefault="006623A3" w:rsidP="00111D7B">
      <w:pPr>
        <w:pStyle w:val="Standardabsatz"/>
        <w:rPr>
          <w:lang w:val="en-GB"/>
        </w:rPr>
      </w:pPr>
      <w:r>
        <w:rPr>
          <w:lang w:val="es-ES"/>
        </w:rPr>
        <w:t>El protagonismo es para el «</w:t>
      </w:r>
      <w:bookmarkStart w:id="3" w:name="_Hlk189811891"/>
      <w:r>
        <w:rPr>
          <w:lang w:val="es-ES"/>
        </w:rPr>
        <w:t xml:space="preserve">sistema de producción para </w:t>
      </w:r>
      <w:bookmarkEnd w:id="3"/>
      <w:r>
        <w:rPr>
          <w:lang w:val="es-ES"/>
        </w:rPr>
        <w:t xml:space="preserve">obras sin emisiones locales», que está nominado al premio a la innovación de Bauma 2025 en la categoría «Protección del clima». </w:t>
      </w:r>
    </w:p>
    <w:p w14:paraId="65503346" w14:textId="08534A87" w:rsidR="00302730" w:rsidRPr="00ED47B0" w:rsidRDefault="006623A3" w:rsidP="00111D7B">
      <w:pPr>
        <w:pStyle w:val="Standardabsatz"/>
        <w:rPr>
          <w:lang w:val="en-GB"/>
        </w:rPr>
      </w:pPr>
      <w:r>
        <w:rPr>
          <w:lang w:val="es-ES"/>
        </w:rPr>
        <w:t xml:space="preserve">Gracias a la fresadora en frío, la extendedora y el rodillo accionados con batería, las empresas que se dedican a la construcción de carreteras disponen por primera vez de un Production System integral que permite ejecutar proyectos sin emisiones locales. Además, las soluciones de un único proveedor garantizan una alta seguridad en la aplicación y procesos armonizados entre sí en las soluciones telemáticas y las soluciones de las máquinas. </w:t>
      </w:r>
    </w:p>
    <w:p w14:paraId="22D6BB12" w14:textId="4E03D55D" w:rsidR="00794956" w:rsidRPr="00ED47B0" w:rsidRDefault="00794956" w:rsidP="00111D7B">
      <w:pPr>
        <w:pStyle w:val="Standardabsatz"/>
        <w:rPr>
          <w:lang w:val="en-GB"/>
        </w:rPr>
      </w:pPr>
      <w:r>
        <w:rPr>
          <w:lang w:val="es-ES"/>
        </w:rPr>
        <w:t>Esto se puede decir también de la solución de digitalización y automatización «Smart Automation in Roadbuilding», que figura en el Top 3 de candidatos dentro de la categoría «Digitalización». Esta innovación permite conseguir resultados planificables de forma automática y de alta calidad en la retirada y el extendido de asfalto con menos recursos en cuanto a material y personal especializado adicional.</w:t>
      </w:r>
    </w:p>
    <w:p w14:paraId="6F696BAE" w14:textId="604CF414" w:rsidR="006D6CC6" w:rsidRPr="00ED47B0" w:rsidRDefault="0039370F" w:rsidP="006D6CC6">
      <w:pPr>
        <w:pStyle w:val="Absatzberschrift"/>
        <w:rPr>
          <w:lang w:val="en-GB"/>
        </w:rPr>
      </w:pPr>
      <w:r>
        <w:rPr>
          <w:bCs/>
          <w:lang w:val="es-ES"/>
        </w:rPr>
        <w:t>Estrenos mundiales de máquinas e innovaciones de todas las marcas de productos</w:t>
      </w:r>
    </w:p>
    <w:p w14:paraId="6BD19432" w14:textId="30BBB729" w:rsidR="00FD3FA9" w:rsidRPr="00ED47B0" w:rsidRDefault="004F1BFE" w:rsidP="005A7A3F">
      <w:pPr>
        <w:pStyle w:val="Standardabsatz"/>
        <w:rPr>
          <w:lang w:val="en-GB"/>
        </w:rPr>
      </w:pPr>
      <w:r>
        <w:rPr>
          <w:lang w:val="es-ES"/>
        </w:rPr>
        <w:t xml:space="preserve">El lema de la presencia en la feria «Smarter. Safer. More Sustainable» se refleja también en los estrenos mundiales e innovaciones de las marcas de productos especializadas de Wirtgen Group. Así, Wirtgen presenta por primera vez su fresadora grande más potente, la W 250 XF, y la generación completa de nuevas recicladoras en frío móviles sobre ruedas y estabilizadoras. Vögele ha ampliado su generación «Guion 5» en todas las clases se potencia, por ejemplo con la primera extendedora sobre ruedas SUPER 1803-5 X-Tier o la alimentadora MT 3000-5. Hamm presenta, además de los nuevos rodillos tándem HD 10-HD 12 G-Tier y HD 90-HD 110 P-Tier, otros modelos para la compactación automatizada, entre ellos el compactador HC 130i C VA. En el ámbito del tratamiento de materiales, Kleemann ofrecerá en el futuro la primera criba de la PRO-Line. Esta instalación se utiliza principalmente para trabajar con piedra natural. En el caso de Benninghoven, los visitantes podrán descubrir la generación de quemadores MULTI JET, que permite usar al 100 % hidrógeno como combustible. Junto con las tecnologías de </w:t>
      </w:r>
      <w:r>
        <w:rPr>
          <w:b/>
          <w:bCs/>
          <w:lang w:val="es-ES"/>
        </w:rPr>
        <w:t>Ciber</w:t>
      </w:r>
      <w:r>
        <w:rPr>
          <w:lang w:val="es-ES"/>
        </w:rPr>
        <w:t xml:space="preserve"> para la producción continua de asfalto, Wirtgen Group abarca todo el abanico de soluciones rentables en el ámbito de la producción de asfalto. John Deere culmina la exposición de máquinas con una perspectiva selecta de su gama de productos para el sector de la construcción, entre ellos cargadoras sobre orugas compactas, palas cargadoras sobre ruedas, Motor Graders y bulldozers.  </w:t>
      </w:r>
    </w:p>
    <w:p w14:paraId="7D779312" w14:textId="4BBE3CDD" w:rsidR="00436852" w:rsidRPr="00ED47B0" w:rsidRDefault="00A371EC" w:rsidP="000F1737">
      <w:pPr>
        <w:pStyle w:val="Standardabsatz"/>
        <w:spacing w:after="0"/>
        <w:rPr>
          <w:b/>
          <w:bCs/>
          <w:lang w:val="en-GB"/>
        </w:rPr>
      </w:pPr>
      <w:r>
        <w:rPr>
          <w:b/>
          <w:bCs/>
          <w:lang w:val="es-ES"/>
        </w:rPr>
        <w:t>Exhibiciones en directo: interesantes perspectivas de soluciones de futuro para el sector</w:t>
      </w:r>
    </w:p>
    <w:p w14:paraId="21B56FC5" w14:textId="6920093C" w:rsidR="006F2EEF" w:rsidRPr="00ED47B0" w:rsidRDefault="000C0660" w:rsidP="00190DB1">
      <w:pPr>
        <w:jc w:val="both"/>
        <w:rPr>
          <w:sz w:val="22"/>
          <w:szCs w:val="22"/>
          <w:lang w:val="en-GB"/>
        </w:rPr>
      </w:pPr>
      <w:r>
        <w:rPr>
          <w:sz w:val="22"/>
          <w:szCs w:val="22"/>
          <w:lang w:val="es-ES"/>
        </w:rPr>
        <w:t xml:space="preserve">Por primera vez en la historia de Bauma, Wirtgen Group presenta exhibiciones en directo de todas las marcas en su estand FS.1011. En el marco de presentaciones breves y atractivas, los expertos de Wirtgen Group y John Deere ofrecerán información detallada sobre las distintas máquinas inteligentes y sobre las tecnologías de digitalización y automatización que ayudan a incrementar la fiabilidad de los procesos y a minimizar el consumo de material. Además, los ponentes compartirán con los visitantes otras perspectivas sobre el grupo empresarial y sus soluciones vanguardistas para el sector. </w:t>
      </w:r>
    </w:p>
    <w:p w14:paraId="7E6118B1" w14:textId="77777777" w:rsidR="006F2EEF" w:rsidRPr="00ED47B0" w:rsidRDefault="006F2EEF" w:rsidP="00190DB1">
      <w:pPr>
        <w:jc w:val="both"/>
        <w:rPr>
          <w:sz w:val="22"/>
          <w:szCs w:val="22"/>
          <w:lang w:val="en-GB"/>
        </w:rPr>
      </w:pPr>
    </w:p>
    <w:p w14:paraId="3B0D5211" w14:textId="77777777" w:rsidR="00762A3B" w:rsidRPr="00ED47B0" w:rsidRDefault="00762A3B">
      <w:pPr>
        <w:rPr>
          <w:rFonts w:eastAsiaTheme="minorHAnsi" w:cstheme="minorBidi"/>
          <w:b/>
          <w:sz w:val="22"/>
          <w:szCs w:val="24"/>
          <w:lang w:val="en-GB"/>
        </w:rPr>
      </w:pPr>
    </w:p>
    <w:p w14:paraId="60199CB0" w14:textId="398F7E0D" w:rsidR="00B11185" w:rsidRPr="00ED47B0" w:rsidRDefault="00B11185">
      <w:pPr>
        <w:rPr>
          <w:rFonts w:eastAsiaTheme="minorHAnsi" w:cstheme="minorBidi"/>
          <w:b/>
          <w:bCs/>
          <w:sz w:val="22"/>
          <w:szCs w:val="24"/>
          <w:lang w:val="en-GB"/>
        </w:rPr>
      </w:pPr>
    </w:p>
    <w:p w14:paraId="31412CCB" w14:textId="73DF7F0A" w:rsidR="00E15EBE" w:rsidRPr="00ED47B0" w:rsidRDefault="00E15EBE" w:rsidP="00E15EBE">
      <w:pPr>
        <w:pStyle w:val="Fotos"/>
        <w:rPr>
          <w:lang w:val="en-GB"/>
        </w:rPr>
      </w:pPr>
      <w:r>
        <w:rPr>
          <w:bCs/>
          <w:lang w:val="es-ES"/>
        </w:rPr>
        <w:t xml:space="preserve">Imágenes: </w:t>
      </w:r>
    </w:p>
    <w:p w14:paraId="75CCD6E9" w14:textId="4814BBEE" w:rsidR="00A5608A" w:rsidRPr="00ED47B0" w:rsidRDefault="00A5608A" w:rsidP="00A5608A">
      <w:pPr>
        <w:pStyle w:val="BUbold"/>
        <w:rPr>
          <w:lang w:val="en-GB"/>
        </w:rPr>
      </w:pPr>
      <w:r>
        <w:rPr>
          <w:b w:val="0"/>
          <w:noProof/>
          <w:lang w:val="es-ES"/>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b w:val="0"/>
          <w:lang w:val="es-ES"/>
        </w:rPr>
        <w:tab/>
      </w:r>
      <w:r>
        <w:rPr>
          <w:b w:val="0"/>
          <w:lang w:val="es-ES"/>
        </w:rPr>
        <w:tab/>
      </w:r>
      <w:r>
        <w:rPr>
          <w:b w:val="0"/>
          <w:lang w:val="es-ES"/>
        </w:rPr>
        <w:br/>
      </w:r>
      <w:proofErr w:type="spellStart"/>
      <w:r>
        <w:rPr>
          <w:bCs/>
          <w:lang w:val="es-ES"/>
        </w:rPr>
        <w:t>WG_Bauma</w:t>
      </w:r>
      <w:proofErr w:type="spellEnd"/>
      <w:r>
        <w:rPr>
          <w:bCs/>
          <w:lang w:val="es-ES"/>
        </w:rPr>
        <w:t xml:space="preserve"> </w:t>
      </w:r>
      <w:proofErr w:type="spellStart"/>
      <w:r>
        <w:rPr>
          <w:bCs/>
          <w:lang w:val="es-ES"/>
        </w:rPr>
        <w:t>Booth</w:t>
      </w:r>
      <w:proofErr w:type="spellEnd"/>
      <w:r>
        <w:rPr>
          <w:bCs/>
          <w:lang w:val="es-ES"/>
        </w:rPr>
        <w:t xml:space="preserve"> 2025</w:t>
      </w:r>
      <w:r>
        <w:rPr>
          <w:b w:val="0"/>
          <w:lang w:val="es-ES"/>
        </w:rPr>
        <w:tab/>
      </w:r>
      <w:r>
        <w:rPr>
          <w:b w:val="0"/>
          <w:lang w:val="es-ES"/>
        </w:rPr>
        <w:tab/>
      </w:r>
    </w:p>
    <w:p w14:paraId="4939F3F9" w14:textId="7AF34A5E" w:rsidR="00D74B56" w:rsidRPr="00ED47B0" w:rsidRDefault="00A5608A" w:rsidP="00B11185">
      <w:pPr>
        <w:pStyle w:val="BUnormal"/>
        <w:rPr>
          <w:lang w:val="en-GB"/>
        </w:rPr>
      </w:pPr>
      <w:r>
        <w:rPr>
          <w:lang w:val="es-ES"/>
        </w:rPr>
        <w:t xml:space="preserve">El estand de Wirtgen </w:t>
      </w:r>
      <w:proofErr w:type="spellStart"/>
      <w:r>
        <w:rPr>
          <w:lang w:val="es-ES"/>
        </w:rPr>
        <w:t>Group</w:t>
      </w:r>
      <w:proofErr w:type="spellEnd"/>
      <w:r>
        <w:rPr>
          <w:lang w:val="es-ES"/>
        </w:rPr>
        <w:t xml:space="preserve"> en Bauma 2025, en cifras: unos 100 productos en exposición, 45 estrenos mundiales e innovaciones, nueve exhibiciones en directo y ocho Production Systems inteligentes, todo ello en 13 000 m² de estand conjunto con John Deere.</w:t>
      </w:r>
    </w:p>
    <w:p w14:paraId="3774B243" w14:textId="77777777" w:rsidR="00B11185" w:rsidRPr="00ED47B0" w:rsidRDefault="00B11185" w:rsidP="00B11185">
      <w:pPr>
        <w:pStyle w:val="Note"/>
        <w:rPr>
          <w:lang w:val="en-GB"/>
        </w:rPr>
      </w:pPr>
    </w:p>
    <w:p w14:paraId="59641828" w14:textId="6BB63C73" w:rsidR="00A5608A" w:rsidRPr="00ED47B0" w:rsidRDefault="00E15EBE" w:rsidP="006B59B5">
      <w:pPr>
        <w:pStyle w:val="Note"/>
        <w:rPr>
          <w:lang w:val="es-ES"/>
        </w:rPr>
      </w:pPr>
      <w:r>
        <w:rPr>
          <w:iCs/>
          <w:lang w:val="es-ES"/>
        </w:rPr>
        <w:t xml:space="preserve">Nota: Estas fotos sirven exclusivamente para la vista previa. Para la impresión en publicaciones, rogamos utilice las fotografías en resolución de 300 dpi que se encuentran disponibles para su descarga en las páginas web de Wirtgen </w:t>
      </w:r>
      <w:proofErr w:type="spellStart"/>
      <w:r>
        <w:rPr>
          <w:iCs/>
          <w:lang w:val="es-ES"/>
        </w:rPr>
        <w:t>Group</w:t>
      </w:r>
      <w:proofErr w:type="spellEnd"/>
      <w:r>
        <w:rPr>
          <w:iCs/>
          <w:lang w:val="es-ES"/>
        </w:rPr>
        <w:t>.</w:t>
      </w:r>
    </w:p>
    <w:p w14:paraId="36B89EF8" w14:textId="77777777" w:rsidR="00F16465" w:rsidRPr="00ED47B0" w:rsidRDefault="00F16465" w:rsidP="00E15EBE">
      <w:pPr>
        <w:pStyle w:val="Absatzberschrift"/>
        <w:rPr>
          <w:iCs/>
          <w:lang w:val="es-ES"/>
        </w:rPr>
      </w:pPr>
    </w:p>
    <w:p w14:paraId="48B7DFBF" w14:textId="77777777" w:rsidR="00CB24EA" w:rsidRPr="00ED47B0" w:rsidRDefault="00CB24EA" w:rsidP="00CB24EA">
      <w:pPr>
        <w:pStyle w:val="Standardabsatz"/>
        <w:rPr>
          <w:lang w:val="es-ES"/>
        </w:rPr>
      </w:pPr>
    </w:p>
    <w:p w14:paraId="55931FB8" w14:textId="71FA9F27" w:rsidR="00E15EBE" w:rsidRPr="007026ED" w:rsidRDefault="00E15EBE" w:rsidP="00E15EBE">
      <w:pPr>
        <w:pStyle w:val="Absatzberschrift"/>
        <w:rPr>
          <w:iCs/>
        </w:rPr>
      </w:pPr>
      <w:r>
        <w:rPr>
          <w:bCs/>
          <w:lang w:val="es-ES"/>
        </w:rPr>
        <w:t>Puede obtener más información en:</w:t>
      </w:r>
    </w:p>
    <w:p w14:paraId="0834BAC7" w14:textId="77777777" w:rsidR="00E15EBE" w:rsidRPr="007026ED"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Default="00E15EBE" w:rsidP="00E15EBE">
      <w:pPr>
        <w:pStyle w:val="Fuzeile1"/>
      </w:pPr>
      <w:r>
        <w:rPr>
          <w:bCs w:val="0"/>
          <w:iCs w:val="0"/>
          <w:lang w:val="es-ES"/>
        </w:rPr>
        <w:t>D-53578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77777777" w:rsidR="00E15EBE" w:rsidRPr="001A0325" w:rsidRDefault="00E15EBE" w:rsidP="00E15EBE">
      <w:pPr>
        <w:pStyle w:val="Fuzeile1"/>
        <w:rPr>
          <w:rFonts w:ascii="Times New Roman" w:hAnsi="Times New Roman" w:cs="Times New Roman"/>
        </w:rPr>
      </w:pPr>
      <w:r>
        <w:rPr>
          <w:bCs w:val="0"/>
          <w:iCs w:val="0"/>
          <w:lang w:val="es-ES"/>
        </w:rPr>
        <w:t xml:space="preserve">Teléfono: +49 (0) 2645 131 – 1966 </w:t>
      </w:r>
    </w:p>
    <w:p w14:paraId="65F4C38F" w14:textId="77777777" w:rsidR="00E15EBE" w:rsidRDefault="00E15EBE" w:rsidP="00E15EBE">
      <w:pPr>
        <w:pStyle w:val="Fuzeile1"/>
      </w:pPr>
      <w:r>
        <w:rPr>
          <w:bCs w:val="0"/>
          <w:iCs w:val="0"/>
          <w:lang w:val="es-ES"/>
        </w:rPr>
        <w:t>Fax: +49 (0) 2645 131 – 499</w:t>
      </w:r>
    </w:p>
    <w:p w14:paraId="79FF3B7C" w14:textId="66319E0B" w:rsidR="00E15EBE" w:rsidRDefault="00E15EBE" w:rsidP="00E15EBE">
      <w:pPr>
        <w:pStyle w:val="Fuzeile1"/>
      </w:pPr>
      <w:r>
        <w:rPr>
          <w:bCs w:val="0"/>
          <w:iCs w:val="0"/>
          <w:lang w:val="es-ES"/>
        </w:rPr>
        <w:t>E-mail: PR@wirtgen-group.com</w:t>
      </w:r>
    </w:p>
    <w:p w14:paraId="3D604A55" w14:textId="74A93298" w:rsidR="00F048D4" w:rsidRDefault="00ED47B0" w:rsidP="00F74540">
      <w:pPr>
        <w:pStyle w:val="Fuzeile1"/>
      </w:pPr>
      <w:hyperlink r:id="rId9" w:history="1">
        <w:r w:rsidR="00953C93">
          <w:rPr>
            <w:rStyle w:val="Hyperlink"/>
            <w:bCs w:val="0"/>
            <w:iCs w:val="0"/>
            <w:lang w:val="es-ES"/>
          </w:rPr>
          <w:t>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6F4F" w14:textId="4AAE0C00" w:rsidR="00170CCC" w:rsidRDefault="00170CCC">
    <w:pPr>
      <w:pStyle w:val="Fuzeile"/>
    </w:pPr>
    <w:r>
      <w:rPr>
        <w:noProof/>
        <w:lang w:val="es-ES"/>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es-ES"/>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Koi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a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CcJKoi&#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r>
            <w:rPr>
              <w:rStyle w:val="Hervorhebung"/>
              <w:bCs/>
              <w:iCs w:val="0"/>
              <w:szCs w:val="20"/>
              <w:lang w:val="es-ES"/>
            </w:rPr>
            <w:t>WIRTGEN GmbH</w:t>
          </w:r>
          <w:r>
            <w:rPr>
              <w:szCs w:val="20"/>
              <w:lang w:val="es-ES"/>
            </w:rPr>
            <w:t xml:space="preserve"> · Reinhard-Wirtgen-Str. 2 · 53578 Windhagen · Alemania · T: +49-2645-131-0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w16sdtfl="http://schemas.microsoft.com/office/word/2024/wordml/sdtformatlock">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C84F92" w:rsidR="005101B4" w:rsidRDefault="0009587A">
    <w:pPr>
      <w:pStyle w:val="Kopfzeile"/>
    </w:pPr>
    <w:r>
      <w:rPr>
        <w:noProof/>
        <w:lang w:val="es-ES"/>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E0E5D6B" w:rsidR="00533132" w:rsidRPr="00533132" w:rsidRDefault="0009587A" w:rsidP="00533132">
    <w:pPr>
      <w:pStyle w:val="Kopfzeile"/>
    </w:pPr>
    <w:r>
      <w:rPr>
        <w:noProof/>
        <w:lang w:val="es-ES"/>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F98A3E6" w:rsidR="00533132" w:rsidRDefault="0009587A">
    <w:pPr>
      <w:pStyle w:val="Kopfzeile"/>
    </w:pPr>
    <w:r>
      <w:rPr>
        <w:noProof/>
        <w:lang w:val="es-ES"/>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qIEg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" filled="f" stroked="f">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clsh="http://schemas.microsoft.com/office/drawing/2020/classificationShape" xmlns:pic="http://schemas.openxmlformats.org/drawingml/2006/picture" xmlns:a14="http://schemas.microsoft.com/office/drawing/2010/main" xmlns:w16sdtfl="http://schemas.microsoft.com/office/word/2024/wordml/sdtformatlock">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2BC"/>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D34D7"/>
    <w:rsid w:val="000D7B73"/>
    <w:rsid w:val="000E24F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7769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4183E"/>
    <w:rsid w:val="00253A2E"/>
    <w:rsid w:val="00253F7D"/>
    <w:rsid w:val="0025471E"/>
    <w:rsid w:val="00254E4C"/>
    <w:rsid w:val="002603EC"/>
    <w:rsid w:val="002611FE"/>
    <w:rsid w:val="00282AFC"/>
    <w:rsid w:val="00283D98"/>
    <w:rsid w:val="00286C15"/>
    <w:rsid w:val="00291D7A"/>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26CB"/>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101B4"/>
    <w:rsid w:val="00513E04"/>
    <w:rsid w:val="005211CA"/>
    <w:rsid w:val="0052300F"/>
    <w:rsid w:val="00530E32"/>
    <w:rsid w:val="00533132"/>
    <w:rsid w:val="00535FFA"/>
    <w:rsid w:val="005367BE"/>
    <w:rsid w:val="00537210"/>
    <w:rsid w:val="00545FF9"/>
    <w:rsid w:val="005475CA"/>
    <w:rsid w:val="00550117"/>
    <w:rsid w:val="00555ACA"/>
    <w:rsid w:val="005649F4"/>
    <w:rsid w:val="005659DE"/>
    <w:rsid w:val="005710C8"/>
    <w:rsid w:val="005711A3"/>
    <w:rsid w:val="00571A5C"/>
    <w:rsid w:val="00573B2B"/>
    <w:rsid w:val="005757B9"/>
    <w:rsid w:val="005776E9"/>
    <w:rsid w:val="00581FAE"/>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0E3E"/>
    <w:rsid w:val="00614432"/>
    <w:rsid w:val="00614ED0"/>
    <w:rsid w:val="006174CC"/>
    <w:rsid w:val="0062056B"/>
    <w:rsid w:val="00620E6C"/>
    <w:rsid w:val="00621E51"/>
    <w:rsid w:val="00623B37"/>
    <w:rsid w:val="00623C4E"/>
    <w:rsid w:val="00626589"/>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4EA1"/>
    <w:rsid w:val="006E6F23"/>
    <w:rsid w:val="006F2EEF"/>
    <w:rsid w:val="006F5099"/>
    <w:rsid w:val="006F7602"/>
    <w:rsid w:val="007026ED"/>
    <w:rsid w:val="00705A7B"/>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3898"/>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2F6F"/>
    <w:rsid w:val="00893BAD"/>
    <w:rsid w:val="00896F7E"/>
    <w:rsid w:val="008A30C2"/>
    <w:rsid w:val="008A3769"/>
    <w:rsid w:val="008B28D7"/>
    <w:rsid w:val="008C2A29"/>
    <w:rsid w:val="008C2DB2"/>
    <w:rsid w:val="008C7A2B"/>
    <w:rsid w:val="008D2B87"/>
    <w:rsid w:val="008D770E"/>
    <w:rsid w:val="008D7892"/>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457B7"/>
    <w:rsid w:val="00952853"/>
    <w:rsid w:val="00953C9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3C90"/>
    <w:rsid w:val="00AD70E4"/>
    <w:rsid w:val="00AE4AB4"/>
    <w:rsid w:val="00AF2E44"/>
    <w:rsid w:val="00AF3B3A"/>
    <w:rsid w:val="00AF4E8E"/>
    <w:rsid w:val="00AF6569"/>
    <w:rsid w:val="00B06265"/>
    <w:rsid w:val="00B06AEC"/>
    <w:rsid w:val="00B11185"/>
    <w:rsid w:val="00B1299E"/>
    <w:rsid w:val="00B22DF6"/>
    <w:rsid w:val="00B30C19"/>
    <w:rsid w:val="00B33E71"/>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42DB"/>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431A"/>
    <w:rsid w:val="00D96115"/>
    <w:rsid w:val="00D976E4"/>
    <w:rsid w:val="00DA0266"/>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40F"/>
    <w:rsid w:val="00E33F98"/>
    <w:rsid w:val="00E35EC4"/>
    <w:rsid w:val="00E37146"/>
    <w:rsid w:val="00E43CD5"/>
    <w:rsid w:val="00E451CD"/>
    <w:rsid w:val="00E47BF6"/>
    <w:rsid w:val="00E51170"/>
    <w:rsid w:val="00E52D70"/>
    <w:rsid w:val="00E55534"/>
    <w:rsid w:val="00E6321B"/>
    <w:rsid w:val="00E7116D"/>
    <w:rsid w:val="00E72429"/>
    <w:rsid w:val="00E812B2"/>
    <w:rsid w:val="00E90524"/>
    <w:rsid w:val="00E914D1"/>
    <w:rsid w:val="00E95801"/>
    <w:rsid w:val="00E960D8"/>
    <w:rsid w:val="00EA3878"/>
    <w:rsid w:val="00EB5FCA"/>
    <w:rsid w:val="00EC214D"/>
    <w:rsid w:val="00EC715D"/>
    <w:rsid w:val="00ED47B0"/>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4F63"/>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rtgen-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6200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Kloster Iryna</cp:lastModifiedBy>
  <cp:revision>19</cp:revision>
  <cp:lastPrinted>2021-10-28T15:19:00Z</cp:lastPrinted>
  <dcterms:created xsi:type="dcterms:W3CDTF">2025-02-14T10:45:00Z</dcterms:created>
  <dcterms:modified xsi:type="dcterms:W3CDTF">2025-02-17T12:36:00Z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